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ind w:hanging="0" w:right="-15"/>
        <w:jc w:val="center"/>
        <w:rPr>
          <w:rFonts w:ascii="Calibri" w:hAnsi="Calibri" w:cs="Calibri"/>
        </w:rPr>
      </w:pPr>
      <w:r>
        <w:rPr/>
        <w:drawing>
          <wp:inline distT="0" distB="0" distL="0" distR="0">
            <wp:extent cx="666750" cy="647700"/>
            <wp:effectExtent l="0" t="0" r="0" b="0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5" t="-56" r="-55" b="-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rFonts w:ascii="Calibri" w:hAnsi="Calibri"/>
        </w:rPr>
      </w:pPr>
      <w:r>
        <w:rPr>
          <w:rFonts w:cs="Calibri" w:ascii="Calibri" w:hAnsi="Calibri"/>
          <w:b/>
        </w:rPr>
        <w:t>MARINHA DO BRASIL</w:t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libri" w:hAnsi="Calibri"/>
        </w:rPr>
      </w:pPr>
      <w:r>
        <w:rPr>
          <w:rFonts w:cs="Calibri" w:ascii="Calibri" w:hAnsi="Calibri"/>
          <w:b/>
        </w:rPr>
        <w:t>HOSPITAL NAVAL DE BRASÍLIA</w:t>
      </w:r>
    </w:p>
    <w:p>
      <w:pPr>
        <w:pStyle w:val="Normal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center"/>
        <w:rPr>
          <w:rFonts w:ascii="Calibri" w:hAnsi="Calibri"/>
        </w:rPr>
      </w:pPr>
      <w:r>
        <w:rPr>
          <w:rFonts w:cs="Calibri" w:ascii="Calibri" w:hAnsi="Calibri"/>
          <w:b/>
        </w:rPr>
        <w:t>UNIDADE DE TERAPIA INTENSIVA</w:t>
      </w:r>
    </w:p>
    <w:p>
      <w:pPr>
        <w:pStyle w:val="Normal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ANEXO V</w:t>
      </w:r>
    </w:p>
    <w:p>
      <w:pPr>
        <w:pStyle w:val="Normal"/>
        <w:jc w:val="center"/>
        <w:rPr>
          <w:b/>
          <w:bCs/>
        </w:rPr>
      </w:pPr>
      <w:r>
        <w:rPr>
          <w:rFonts w:eastAsia="NSimSun" w:cs="Calibri" w:ascii="Calibri" w:hAnsi="Calibri" w:asciiTheme="minorHAnsi" w:cstheme="minorHAnsi" w:hAnsiTheme="minorHAnsi"/>
          <w:b/>
          <w:bCs/>
          <w:kern w:val="0"/>
          <w:lang w:eastAsia="zh-CN"/>
        </w:rPr>
        <w:t>Apresentação das Condições do Instrumento de Medição de Resultados (IMR)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jc w:val="left"/>
        <w:rPr>
          <w:b/>
          <w:bCs/>
        </w:rPr>
      </w:pPr>
      <w:r>
        <w:rPr>
          <w:rFonts w:eastAsia="NSimSun" w:cs="Calibri" w:ascii="Calibri" w:hAnsi="Calibri" w:asciiTheme="minorHAnsi" w:cstheme="minorHAnsi" w:hAnsiTheme="minorHAnsi"/>
          <w:b/>
          <w:bCs/>
          <w:kern w:val="0"/>
          <w:lang w:eastAsia="zh-CN"/>
        </w:rPr>
        <w:t xml:space="preserve">1.DA DEFINIÇÃO </w:t>
      </w:r>
    </w:p>
    <w:p>
      <w:pPr>
        <w:pStyle w:val="Normal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>
          <w:rFonts w:eastAsia="NSimSun" w:cs="Calibri" w:ascii="Calibri" w:hAnsi="Calibri" w:asciiTheme="minorHAnsi" w:cstheme="minorHAnsi" w:hAnsiTheme="minorHAnsi"/>
          <w:kern w:val="0"/>
          <w:lang w:eastAsia="zh-CN"/>
        </w:rPr>
        <w:t>1.2. O instrumento de Medição de Resultado (IMR) é o mecanismo que define os níveis esperados de qualidade da prestação dos serviços e respectivas adequações de pagamento.</w:t>
      </w:r>
    </w:p>
    <w:p>
      <w:pPr>
        <w:pStyle w:val="Normal"/>
        <w:jc w:val="both"/>
        <w:rPr/>
      </w:pPr>
      <w:r>
        <w:rPr>
          <w:rFonts w:eastAsia="NSimSun" w:cs="Calibri" w:ascii="Calibri" w:hAnsi="Calibri" w:asciiTheme="minorHAnsi" w:cstheme="minorHAnsi" w:hAnsiTheme="minorHAnsi"/>
          <w:kern w:val="0"/>
          <w:lang w:eastAsia="zh-CN"/>
        </w:rPr>
        <w:t>1.3. Este anexo é parte indissociável do contrato firmado a partir do Termo de Referência e apresenta critérios de avaliação da qualidade dos serviços, identificando indicadores, metas, mecanismos de cálculo, forma de acompanhamento e adequações de pagamento por eventual não atendimento das meta estabelecidas.</w:t>
      </w:r>
    </w:p>
    <w:p>
      <w:pPr>
        <w:pStyle w:val="Normal"/>
        <w:jc w:val="both"/>
        <w:rPr>
          <w:rFonts w:ascii="Calibri" w:hAnsi="Calibri" w:eastAsia="NSimSun" w:cs="Calibri" w:asciiTheme="minorHAnsi" w:cstheme="minorHAnsi" w:hAnsiTheme="minorHAnsi"/>
          <w:kern w:val="0"/>
          <w:lang w:eastAsia="zh-CN"/>
        </w:rPr>
      </w:pPr>
      <w:r>
        <w:rPr>
          <w:rFonts w:eastAsia="NSimSun" w:cs="Calibri" w:cstheme="minorHAnsi" w:ascii="Calibri" w:hAnsi="Calibri"/>
          <w:kern w:val="0"/>
          <w:lang w:eastAsia="zh-CN"/>
        </w:rPr>
      </w:r>
    </w:p>
    <w:p>
      <w:pPr>
        <w:pStyle w:val="Normal"/>
        <w:jc w:val="both"/>
        <w:rPr/>
      </w:pPr>
      <w:r>
        <w:rPr>
          <w:rFonts w:eastAsia="NSimSun" w:cs="Calibri" w:ascii="Calibri" w:hAnsi="Calibri" w:asciiTheme="minorHAnsi" w:cstheme="minorHAnsi" w:hAnsiTheme="minorHAnsi"/>
          <w:kern w:val="0"/>
          <w:lang w:eastAsia="zh-CN"/>
        </w:rPr>
        <w:t>2. DOS INDICADORES, METAS E DOS MECANISMOS DE CÁLCULO</w:t>
      </w:r>
    </w:p>
    <w:p>
      <w:pPr>
        <w:pStyle w:val="Normal"/>
        <w:jc w:val="both"/>
        <w:rPr>
          <w:rFonts w:ascii="Calibri" w:hAnsi="Calibri" w:eastAsia="NSimSun" w:cs="Calibri" w:asciiTheme="minorHAnsi" w:cstheme="minorHAnsi" w:hAnsiTheme="minorHAnsi"/>
          <w:kern w:val="0"/>
          <w:lang w:eastAsia="zh-CN"/>
        </w:rPr>
      </w:pPr>
      <w:r>
        <w:rPr>
          <w:rFonts w:eastAsia="NSimSun" w:cs="Calibri" w:cstheme="minorHAnsi" w:ascii="Calibri" w:hAnsi="Calibri"/>
          <w:kern w:val="0"/>
          <w:lang w:eastAsia="zh-CN"/>
        </w:rPr>
      </w:r>
    </w:p>
    <w:p>
      <w:pPr>
        <w:pStyle w:val="Normal"/>
        <w:jc w:val="both"/>
        <w:rPr>
          <w:b w:val="false"/>
          <w:bCs w:val="false"/>
          <w:color w:val="000000"/>
        </w:rPr>
      </w:pPr>
      <w:r>
        <w:rPr>
          <w:rFonts w:eastAsia="NSimSun" w:cs="Calibri" w:ascii="Calibri" w:hAnsi="Calibri" w:asciiTheme="minorHAnsi" w:cstheme="minorHAnsi" w:hAnsiTheme="minorHAnsi"/>
          <w:b w:val="false"/>
          <w:bCs w:val="false"/>
          <w:color w:val="000000"/>
          <w:kern w:val="0"/>
          <w:lang w:eastAsia="zh-CN"/>
        </w:rPr>
        <w:t>2.1. Os serviços da CONTRATADA serão avaliados por meio de dois indicadores de qualidade: pontualidade e a execução do serviço de acordo com a demanda da UTI do HNBra.</w:t>
      </w:r>
    </w:p>
    <w:p>
      <w:pPr>
        <w:pStyle w:val="Normal"/>
        <w:jc w:val="both"/>
        <w:rPr>
          <w:b w:val="false"/>
          <w:bCs w:val="false"/>
          <w:color w:val="000000"/>
        </w:rPr>
      </w:pPr>
      <w:r>
        <w:rPr>
          <w:rFonts w:eastAsia="NSimSun" w:cs="Calibri" w:ascii="Calibri" w:hAnsi="Calibri" w:asciiTheme="minorHAnsi" w:cstheme="minorHAnsi" w:hAnsiTheme="minorHAnsi"/>
          <w:b w:val="false"/>
          <w:bCs w:val="false"/>
          <w:color w:val="000000"/>
          <w:kern w:val="0"/>
          <w:lang w:eastAsia="zh-CN"/>
        </w:rPr>
        <w:t>2.2. Os indicadores, metas e mecanismos de cálculo presentes neste IMR constituem elementos necessários para a análise de execução contratual, determinado a proporcionalidade ao atingimento de metas estabelecidas.</w:t>
      </w:r>
    </w:p>
    <w:p>
      <w:pPr>
        <w:pStyle w:val="Normal"/>
        <w:jc w:val="both"/>
        <w:rPr>
          <w:b w:val="false"/>
          <w:bCs w:val="false"/>
          <w:color w:val="000000"/>
        </w:rPr>
      </w:pPr>
      <w:r>
        <w:rPr>
          <w:rFonts w:eastAsia="NSimSun" w:cs="Calibri" w:ascii="Calibri" w:hAnsi="Calibri" w:asciiTheme="minorHAnsi" w:cstheme="minorHAnsi" w:hAnsiTheme="minorHAnsi"/>
          <w:b w:val="false"/>
          <w:bCs w:val="false"/>
          <w:color w:val="000000"/>
          <w:kern w:val="0"/>
          <w:lang w:eastAsia="zh-CN"/>
        </w:rPr>
        <w:t xml:space="preserve">2.3. As tabelas abaixo apresentam os indicadores, as metas, os critérios e os mecanismos de cálculo da pontuação de qualidade. </w:t>
      </w:r>
    </w:p>
    <w:p>
      <w:pPr>
        <w:pStyle w:val="Normal"/>
        <w:jc w:val="both"/>
        <w:rPr>
          <w:rFonts w:ascii="Calibri" w:hAnsi="Calibri" w:eastAsia="NSimSun" w:cs="Calibri" w:asciiTheme="minorHAnsi" w:cstheme="minorHAnsi" w:hAnsiTheme="minorHAnsi"/>
          <w:b w:val="false"/>
          <w:bCs w:val="false"/>
          <w:color w:val="000000"/>
          <w:kern w:val="0"/>
          <w:lang w:eastAsia="zh-CN"/>
        </w:rPr>
      </w:pPr>
      <w:r>
        <w:rPr>
          <w:rFonts w:eastAsia="NSimSun" w:cs="Calibri" w:cstheme="minorHAnsi" w:ascii="Calibri" w:hAnsi="Calibri"/>
          <w:b w:val="false"/>
          <w:bCs w:val="false"/>
          <w:color w:val="000000"/>
          <w:kern w:val="0"/>
          <w:lang w:eastAsia="zh-CN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tbl>
      <w:tblPr>
        <w:tblStyle w:val="Tabelacomgrade"/>
        <w:tblW w:w="94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83"/>
        <w:gridCol w:w="6411"/>
      </w:tblGrid>
      <w:tr>
        <w:trPr/>
        <w:tc>
          <w:tcPr>
            <w:tcW w:w="949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2"/>
                <w:sz w:val="20"/>
                <w:szCs w:val="24"/>
                <w:lang w:val="pt-BR"/>
              </w:rPr>
              <w:t>Indicador 1:  Pontualidade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Item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Descrição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Finalidade</w:t>
            </w:r>
          </w:p>
        </w:tc>
        <w:tc>
          <w:tcPr>
            <w:tcW w:w="6411" w:type="dxa"/>
            <w:tcBorders/>
          </w:tcPr>
          <w:p>
            <w:pPr>
              <w:pStyle w:val="Default"/>
              <w:widowControl w:val="fals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cstheme="minorHAnsi"/>
                <w:szCs w:val="24"/>
                <w:lang w:val="pt-BR" w:eastAsia="zh-CN"/>
              </w:rPr>
              <w:t>Contratar empresa com profissionais capacitados para realizar o serviço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Meta a cumprir</w:t>
            </w:r>
          </w:p>
        </w:tc>
        <w:tc>
          <w:tcPr>
            <w:tcW w:w="6411" w:type="dxa"/>
            <w:tcBorders/>
          </w:tcPr>
          <w:p>
            <w:pPr>
              <w:pStyle w:val="Default"/>
              <w:widowControl w:val="fals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cstheme="minorHAnsi"/>
                <w:szCs w:val="24"/>
                <w:lang w:val="pt-BR" w:eastAsia="zh-CN"/>
              </w:rPr>
              <w:t>TR = 100%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Instrumento de medição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Ordens de serviço, Relatórios e Planilhas de controle.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Forma de acompanhamento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Através da fiscalização de servidor indicado pela instituição, registrado em Livro de Ocorrências ou planilha;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Periodicidade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2"/>
                <w:sz w:val="20"/>
                <w:szCs w:val="24"/>
                <w:lang w:val="pt-BR"/>
              </w:rPr>
              <w:t>Ao solicitar o serviço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Início de Vigência</w:t>
            </w:r>
          </w:p>
        </w:tc>
        <w:tc>
          <w:tcPr>
            <w:tcW w:w="6411" w:type="dxa"/>
            <w:tcBorders/>
          </w:tcPr>
          <w:p>
            <w:pPr>
              <w:pStyle w:val="Default"/>
              <w:widowControl w:val="fals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cstheme="minorHAnsi"/>
                <w:szCs w:val="24"/>
                <w:lang w:val="pt-BR" w:eastAsia="zh-CN"/>
              </w:rPr>
              <w:t>Após envio à Contratada da emissão da ordem de serviço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Faixas de ajuste no pagamento (Tempo de atendimento das ordens de serviços)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a) 0 a 3 ocorrências no mês – 100% da meta = recebimento de 100% do valor previsto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b) 4 a 6 ocorrências no mês – 90 % da meta = recebimento de 90% do valor previsto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c) 7 a 9 ocorrências no mês – 85% da meta =  recebimento de 85% do valor previsto</w:t>
            </w:r>
          </w:p>
        </w:tc>
      </w:tr>
      <w:tr>
        <w:trPr>
          <w:trHeight w:val="760" w:hRule="atLeast"/>
        </w:trPr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Sanções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1- A partir da décima ocorrência em um período de até 02 meses, considera-se rescisão contratual;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cstheme="minorHAnsi" w:ascii="Calibri" w:hAnsi="Calibri"/>
                <w:kern w:val="0"/>
                <w:lang w:eastAsia="zh-CN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Tabelacomgrade"/>
        <w:tblW w:w="94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83"/>
        <w:gridCol w:w="6411"/>
      </w:tblGrid>
      <w:tr>
        <w:trPr/>
        <w:tc>
          <w:tcPr>
            <w:tcW w:w="949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2"/>
                <w:sz w:val="20"/>
                <w:szCs w:val="24"/>
                <w:lang w:val="pt-BR"/>
              </w:rPr>
              <w:t>Indicador 2: Execução do Serviço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Item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Descrição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Finalidade</w:t>
            </w:r>
          </w:p>
        </w:tc>
        <w:tc>
          <w:tcPr>
            <w:tcW w:w="6411" w:type="dxa"/>
            <w:tcBorders/>
          </w:tcPr>
          <w:p>
            <w:pPr>
              <w:pStyle w:val="Default"/>
              <w:widowControl w:val="fals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cstheme="minorHAnsi"/>
                <w:szCs w:val="24"/>
                <w:lang w:val="pt-BR" w:eastAsia="zh-CN"/>
              </w:rPr>
              <w:t>Contratar empresa com profissionais capacitados para realizar o serviço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Meta a cumprir</w:t>
            </w:r>
          </w:p>
        </w:tc>
        <w:tc>
          <w:tcPr>
            <w:tcW w:w="6411" w:type="dxa"/>
            <w:tcBorders/>
          </w:tcPr>
          <w:p>
            <w:pPr>
              <w:pStyle w:val="Default"/>
              <w:widowControl w:val="false"/>
              <w:spacing w:before="0" w:after="0"/>
              <w:jc w:val="left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cstheme="minorHAnsi"/>
                <w:szCs w:val="24"/>
                <w:lang w:val="pt-BR" w:eastAsia="zh-CN"/>
              </w:rPr>
              <w:t>TR = 100%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Instrumento de medição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Ordens de serviço, Relatórios e Planilhas de controle.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Forma de acompanhamento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Através da fiscalização de servidor indicado pela instituição, registrado em Livro de Ocorrências ou planilha;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Periodicidade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  <w:kern w:val="2"/>
                <w:sz w:val="20"/>
                <w:szCs w:val="24"/>
                <w:lang w:val="pt-BR"/>
              </w:rPr>
              <w:t>Ao solicitar o serviço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Início de Vigência</w:t>
            </w:r>
          </w:p>
        </w:tc>
        <w:tc>
          <w:tcPr>
            <w:tcW w:w="6411" w:type="dxa"/>
            <w:tcBorders/>
          </w:tcPr>
          <w:p>
            <w:pPr>
              <w:pStyle w:val="Default"/>
              <w:widowControl w:val="fals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cstheme="minorHAnsi"/>
                <w:szCs w:val="24"/>
                <w:lang w:val="pt-BR" w:eastAsia="zh-CN"/>
              </w:rPr>
              <w:t>Após envio à Contratada da emissão da ordem de serviço</w:t>
            </w:r>
          </w:p>
        </w:tc>
      </w:tr>
      <w:tr>
        <w:trPr/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Faixas de ajuste no pagamento (Tempo de atendimento das ordens de serviços)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a) 0 a 3 ocorrências no mês – 100% da meta = recebimento de 100% do valor previsto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b) 4 a 6 ocorrências no mês – 90 % da meta = recebimento de 90% do valor previsto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c) 7 a 9 ocorrências no mês – 85% da meta =  recebimento de 85% do valor previsto</w:t>
            </w:r>
          </w:p>
        </w:tc>
      </w:tr>
      <w:tr>
        <w:trPr>
          <w:trHeight w:val="683" w:hRule="atLeast"/>
        </w:trPr>
        <w:tc>
          <w:tcPr>
            <w:tcW w:w="308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Sanções</w:t>
            </w:r>
          </w:p>
        </w:tc>
        <w:tc>
          <w:tcPr>
            <w:tcW w:w="6411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ascii="Calibri" w:hAnsi="Calibri" w:asciiTheme="minorHAnsi" w:cstheme="minorHAnsi" w:hAnsiTheme="minorHAnsi"/>
                <w:kern w:val="0"/>
                <w:sz w:val="20"/>
                <w:szCs w:val="24"/>
                <w:lang w:val="pt-BR" w:eastAsia="zh-CN"/>
              </w:rPr>
              <w:t>1- A partir da décima ocorrência em um período de até 02 meses, considera-se rescisão contratual;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ascii="Calibri" w:hAnsi="Calibri" w:eastAsia="NSimSun" w:cs="Calibri" w:asciiTheme="minorHAnsi" w:cstheme="minorHAnsi" w:hAnsiTheme="minorHAnsi"/>
                <w:kern w:val="0"/>
                <w:lang w:eastAsia="zh-CN"/>
              </w:rPr>
            </w:pPr>
            <w:r>
              <w:rPr>
                <w:rFonts w:eastAsia="NSimSun" w:cs="Calibri" w:cstheme="minorHAnsi" w:ascii="Calibri" w:hAnsi="Calibri"/>
                <w:kern w:val="0"/>
                <w:lang w:eastAsia="zh-CN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8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t-BR" w:eastAsia="pt-BR" w:bidi="ar-SA"/>
    </w:rPr>
  </w:style>
  <w:style w:type="paragraph" w:styleId="Heading1">
    <w:name w:val="heading 1"/>
    <w:basedOn w:val="Normal"/>
    <w:qFormat/>
    <w:pPr>
      <w:keepNext w:val="true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qFormat/>
    <w:rPr>
      <w:rFonts w:ascii="Times New Roman" w:hAnsi="Times New Roman" w:cs="Times New Roman"/>
      <w:b/>
      <w:bCs/>
      <w:sz w:val="24"/>
      <w:szCs w:val="24"/>
      <w:lang w:eastAsia="pt-BR"/>
    </w:rPr>
  </w:style>
  <w:style w:type="character" w:styleId="BodyTextIndentChar" w:customStyle="1">
    <w:name w:val="Body Text Indent Char"/>
    <w:basedOn w:val="DefaultParagraphFont"/>
    <w:qFormat/>
    <w:rPr>
      <w:rFonts w:ascii="Times New Roman" w:hAnsi="Times New Roman" w:cs="Times New Roman"/>
      <w:sz w:val="20"/>
      <w:szCs w:val="20"/>
      <w:lang w:eastAsia="pt-B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f772b0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semiHidden/>
    <w:qFormat/>
    <w:rsid w:val="00f772b0"/>
    <w:rPr>
      <w:rFonts w:ascii="Times New Roman" w:hAnsi="Times New Roman" w:eastAsia="Times New Roman" w:cs="Times New Roman"/>
      <w:sz w:val="20"/>
      <w:szCs w:val="20"/>
      <w:lang w:eastAsia="pt-BR" w:bidi="ar-SA"/>
    </w:rPr>
  </w:style>
  <w:style w:type="character" w:styleId="AssuntodocomentrioChar" w:customStyle="1">
    <w:name w:val="Assunto do comentário Char"/>
    <w:basedOn w:val="TextodecomentrioChar"/>
    <w:uiPriority w:val="99"/>
    <w:semiHidden/>
    <w:qFormat/>
    <w:rsid w:val="00f772b0"/>
    <w:rPr>
      <w:rFonts w:ascii="Times New Roman" w:hAnsi="Times New Roman" w:eastAsia="Times New Roman" w:cs="Times New Roman"/>
      <w:b/>
      <w:bCs/>
      <w:sz w:val="20"/>
      <w:szCs w:val="20"/>
      <w:lang w:eastAsia="pt-BR" w:bidi="ar-SA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f772b0"/>
    <w:rPr>
      <w:rFonts w:ascii="Tahoma" w:hAnsi="Tahoma" w:eastAsia="Times New Roman" w:cs="Tahoma"/>
      <w:sz w:val="16"/>
      <w:szCs w:val="16"/>
      <w:lang w:eastAsia="pt-BR" w:bidi="ar-SA"/>
    </w:rPr>
  </w:style>
  <w:style w:type="character" w:styleId="Forte1" w:customStyle="1">
    <w:name w:val="Forte1"/>
    <w:qFormat/>
    <w:rPr>
      <w:b/>
      <w:bCs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Smbolosdenumerao" w:customStyle="1">
    <w:name w:val="Símbolos de numeraç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ndice" w:customStyle="1">
    <w:name w:val="Índice"/>
    <w:basedOn w:val="Normal"/>
    <w:qFormat/>
    <w:pPr>
      <w:suppressLineNumbers/>
    </w:pPr>
    <w:rPr>
      <w:rFonts w:cs="Mang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OfEAssina" w:customStyle="1">
    <w:name w:val="OfEAssina"/>
    <w:basedOn w:val="Normal"/>
    <w:qFormat/>
    <w:pPr>
      <w:jc w:val="center"/>
    </w:pPr>
    <w:rPr>
      <w:szCs w:val="20"/>
    </w:rPr>
  </w:style>
  <w:style w:type="paragraph" w:styleId="Recuodecorpodetexto1" w:customStyle="1">
    <w:name w:val="Recuo de corpo de texto1"/>
    <w:basedOn w:val="Normal"/>
    <w:qFormat/>
    <w:pPr>
      <w:spacing w:lineRule="auto" w:line="360"/>
      <w:ind w:firstLine="992" w:left="-992"/>
      <w:jc w:val="both"/>
    </w:pPr>
    <w:rPr>
      <w:szCs w:val="20"/>
    </w:rPr>
  </w:style>
  <w:style w:type="paragraph" w:styleId="NormalWeb">
    <w:name w:val="Normal (Web)"/>
    <w:basedOn w:val="Normal"/>
    <w:qFormat/>
    <w:pPr>
      <w:spacing w:before="100" w:after="100"/>
    </w:pPr>
    <w:rPr>
      <w:lang w:eastAsia="zh-CN"/>
    </w:rPr>
  </w:style>
  <w:style w:type="paragraph" w:styleId="CommentText">
    <w:name w:val="annotation text"/>
    <w:basedOn w:val="Normal"/>
    <w:link w:val="TextodecomentrioChar"/>
    <w:uiPriority w:val="99"/>
    <w:semiHidden/>
    <w:unhideWhenUsed/>
    <w:qFormat/>
    <w:rsid w:val="00f772b0"/>
    <w:pPr/>
    <w:rPr>
      <w:sz w:val="20"/>
      <w:szCs w:val="20"/>
    </w:rPr>
  </w:style>
  <w:style w:type="paragraph" w:styleId="annotationsubject">
    <w:name w:val="annotation subject"/>
    <w:basedOn w:val="CommentText"/>
    <w:link w:val="AssuntodocomentrioChar"/>
    <w:uiPriority w:val="99"/>
    <w:semiHidden/>
    <w:unhideWhenUsed/>
    <w:qFormat/>
    <w:rsid w:val="00f772b0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f772b0"/>
    <w:pPr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2a44f4"/>
    <w:pPr>
      <w:widowControl/>
      <w:suppressAutoHyphens w:val="false"/>
      <w:bidi w:val="0"/>
      <w:spacing w:before="0" w:after="0"/>
      <w:jc w:val="left"/>
    </w:pPr>
    <w:rPr>
      <w:rFonts w:ascii="Calibri" w:hAnsi="Calibri" w:eastAsia="NSimSun" w:cs="Calibri"/>
      <w:color w:val="000000"/>
      <w:kern w:val="0"/>
      <w:sz w:val="24"/>
      <w:szCs w:val="24"/>
      <w:lang w:val="pt-BR" w:eastAsia="zh-CN" w:bidi="ar-SA"/>
    </w:rPr>
  </w:style>
  <w:style w:type="paragraph" w:styleId="Contedodatabela" w:customStyle="1">
    <w:name w:val="Conteúdo da tabela"/>
    <w:basedOn w:val="Normal"/>
    <w:qFormat/>
    <w:pPr>
      <w:widowControl w:val="false"/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8f650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LibreOffice/24.8.5.2$Windows_X86_64 LibreOffice_project/fddf2685c70b461e7832239a0162a77216259f22</Application>
  <AppVersion>15.0000</AppVersion>
  <Pages>2</Pages>
  <Words>482</Words>
  <Characters>2538</Characters>
  <CharactersWithSpaces>2977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2024-07-18T22:12:00Z</dcterms:created>
  <dc:creator>adriane constantino</dc:creator>
  <dc:description/>
  <dc:language>pt-BR</dc:language>
  <cp:lastModifiedBy/>
  <cp:lastPrinted>2023-05-17T12:21:00Z</cp:lastPrinted>
  <dcterms:modified xsi:type="dcterms:W3CDTF">2025-10-23T14:42:30Z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